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color w:val="auto"/>
          <w:kern w:val="0"/>
          <w:sz w:val="44"/>
          <w:szCs w:val="44"/>
        </w:rPr>
      </w:pPr>
      <w:bookmarkStart w:id="0" w:name="_GoBack"/>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托克逊县妇幼保健和计划生育服务中心2024年单位预算公开</w:t>
      </w: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ascii="宋体" w:hAnsi="宋体"/>
          <w:b/>
          <w:color w:val="auto"/>
          <w:kern w:val="0"/>
          <w:sz w:val="44"/>
          <w:szCs w:val="44"/>
        </w:rPr>
      </w:pP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一、关于托克逊县妇幼保健和计划生育服务中心单位2024年收支预算情况的总体说明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二、关于托克逊县妇幼保健和计划生育服务中心单位2024年收入预算情况说明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三、关于托克逊县妇幼保健和计划生育服务中心单位2024年支出预算情况说明</w:t>
      </w:r>
    </w:p>
    <w:p>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四、关于托克逊县妇幼保健和计划生育服务中心单位2024年财政拨款收支预算情况的总体说明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五、关于托克逊县妇幼保健和计划生育服务中心单位2024年一般公共预算当年拨款情况说明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六、关于托克逊县妇幼保健和计划生育服务中心单位2024年一般公共预算基本支出情况说明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七、关于托克逊县妇幼保健和计划生育服务中心单位2024年一般公共预算项目支出情况说明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八、关于托克逊县妇幼保健和计划生育服务中心单位2024年政府性基金预算拨款情况说明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九、关于托克逊县妇幼保健和计划生育服务中心单位2024年国有资本经营预算拨款情况说明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十、关于托克逊县妇幼保健和计划生育服务中心单位2024年财政拨款“三公”经费预算情况说明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十一、关于托克逊县妇幼保健和计划生育服务中心单位2024年上年结转结余预算情况说明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ascii="宋体" w:hAnsi="宋体"/>
          <w:b/>
          <w:color w:val="auto"/>
          <w:kern w:val="0"/>
          <w:sz w:val="32"/>
          <w:szCs w:val="32"/>
        </w:rPr>
      </w:pP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一）坚持国家“以保健为中心，以保障生殖健康为目的，保健与临床相结合，面向群体面向基层和预防为主”的方针，切实履行妇幼公共卫生职能，开展与妇女儿童健康密切相关的各项医疗服务和公共卫生服务，工作中加强保健专科建设，突出保健优势。</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（二）贯彻落实国家《母婴保健法》和认真督促落实《中国妇女发展纲要》、《中国儿童发展纲要》规定的各项工作目标完成情况，对存在的问题及时提出建议，对全县各项妇幼工作顺利完成提供科学依据。</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（三）承担本辖区内常住人口的围产保健、妇女保健、儿童保健、妇幼常见病防治等任务；开展产科质量、孕产妇死亡、儿童生长发育监测等工作，同时对各乡镇的相关的工作督促指导。</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四）负责全县的计划生育技术服务、出生缺陷综合防治工作的技术指导，做好妇幼保健、计划生育信息管理及上报工作，完成各项服务质量监测、做好基层妇幼保健和母婴保健技术人员从业技术培训及接受下级转诊。</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（五）积极推广和应用妇幼保健计划生育实用新技术；做好妇幼计生工作技术指导和基层妇幼保健、计划生育技术人员从业技术培训。</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（六）协助卫生行政部门完成辖区内孕产妇、儿童死亡评审，预防艾滋病、梅毒、乙肝母婴传播项目艾滋病感染儿童评审，督促落实自治区给本县安排的妇女儿童健康有关的新增项目的完成情况。</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（七）负责全县妇幼保健、计划生育技术服务的信息收集、统计、整理、分析、质量控制和汇总上报。</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（八）负责县委、县人民政府及卫生健康行政部门交办的其他任务。</w:t>
      </w: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妇幼保健和计划生育服务中心单位无下属预算单位，下设10个处室，分别是：办公室（总务科）、财务科、医务科（护理部、院内感染防控科）、项目管理科（健康教育科）、检验科、影像科（心电图室）、孕产保健部、妇女保健部、儿童保健部、计划生育服务部</w:t>
      </w:r>
      <w:r>
        <w:rPr>
          <w:rFonts w:hint="eastAsia" w:ascii="仿宋_GB2312" w:hAnsi="宋体" w:eastAsia="仿宋_GB2312" w:cs="宋体"/>
          <w:color w:val="auto"/>
          <w:kern w:val="0"/>
          <w:sz w:val="32"/>
          <w:szCs w:val="32"/>
        </w:rPr>
        <w:t>。</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托克逊县妇幼保健和计划生育服务中心单位编制数29，实有人数37人，其中：在职25人，增加2人；退休12人，增加4人；离休0人，增加0人。</w:t>
      </w:r>
    </w:p>
    <w:p>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编制单位：托克逊县妇幼保健和计划生育服务中心</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779.59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543.99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543.99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65.02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662.82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227.60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205.50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43.75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779.59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779.59</w:t>
            </w:r>
          </w:p>
        </w:tc>
      </w:tr>
    </w:tbl>
    <w:p>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编制单位：托克逊县妇幼保健和计划生育服务中心</w:t>
            </w:r>
          </w:p>
        </w:tc>
        <w:tc>
          <w:tcPr>
            <w:tcW w:w="3889"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65.02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65.02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65.02</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65.02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65.02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65.02</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9.93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9.93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9.93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55.09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55.09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55.09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662.82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435.22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435.22</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227.60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639.47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411.87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411.87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227.60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妇幼保健机构</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617.72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411.87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411.87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205.85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08</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21.75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23.35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23.35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23.35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23.35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23.35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23.35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43.75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43.75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43.75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43.75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43.75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43.75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43.75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43.75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43.75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8.00</w:t>
            </w: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60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彩票公益金安排的支出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8.00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8.00</w:t>
            </w: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60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13</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用于城乡医疗救助的彩票公益金支出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8.00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8.00</w:t>
            </w: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779.59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551.99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543.99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8.00</w:t>
            </w: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227.60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bl>
    <w:p>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编制单位：托克逊县妇幼保健和计划生育服务中心</w:t>
            </w:r>
          </w:p>
        </w:tc>
        <w:tc>
          <w:tcPr>
            <w:tcW w:w="130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65.02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65.02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65.02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65.02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9.93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9.93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55.09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55.09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662.82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435.22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227.60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639.47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411.87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227.60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妇幼保健机构</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617.72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411.87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205.85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基本公共卫生服务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21.75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21.75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23.35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23.35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23.35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23.35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43.75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43.75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43.75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43.75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43.75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43.75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60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彩票公益金安排的支出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8.00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60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13</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用于城乡医疗救助的彩票公益金支出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779.59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543.99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235.60</w:t>
            </w:r>
          </w:p>
        </w:tc>
      </w:tr>
    </w:tbl>
    <w:p>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21"/>
        <w:gridCol w:w="340"/>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编制单位：托克逊县妇幼保健和计划生育服务中心</w:t>
            </w:r>
          </w:p>
        </w:tc>
        <w:tc>
          <w:tcPr>
            <w:tcW w:w="1808" w:type="dxa"/>
            <w:gridSpan w:val="3"/>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551.99</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543.99</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8.00</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65.02</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65.02</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435.22</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435.22</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43.75</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43.75</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8.00</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8.00</w:t>
            </w: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551.99</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551.99</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543.99</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8.00</w:t>
            </w: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编制单位：托克逊县妇幼保健和计划生育服务中心</w:t>
            </w:r>
          </w:p>
        </w:tc>
        <w:tc>
          <w:tcPr>
            <w:tcW w:w="1307"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65.02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65.02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65.02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65.02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55.09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55.09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435.22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435.22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411.87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411.87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妇幼保健机构</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411.87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411.87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23.35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23.35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43.75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543.99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543.99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编制单位：托克逊县妇幼保健和计划生育服务中心</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491.26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491.26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130.72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130.72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53.17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53.17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80.18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80.18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64.61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64.61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55.09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55.09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23.35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23.35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43.75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43.75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37.98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37.98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42.80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42.80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3.40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3.40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9.55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9.55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物业管理费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6.65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6.65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1.90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1.90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9.93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9.93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543.99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501.19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42.80</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编制单位：托克逊县妇幼保健和计划生育服务中心</w:t>
            </w:r>
          </w:p>
        </w:tc>
        <w:tc>
          <w:tcPr>
            <w:tcW w:w="272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备注：托克逊县妇幼保健和计划生育服务中心2024年没有安排项目支出，项目支出情况表为空表。</w:t>
      </w:r>
    </w:p>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编制单位：托克逊县妇幼保健和计划生育服务中心</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3"/>
        <w:gridCol w:w="1534"/>
        <w:gridCol w:w="850"/>
        <w:gridCol w:w="851"/>
        <w:gridCol w:w="1534"/>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其他支出</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8.00</w:t>
            </w: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彩票公益金安排的支出</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8.00</w:t>
            </w: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用于城乡医疗救助的彩票公益金支出</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8.00</w:t>
            </w: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8.00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8.00</w:t>
            </w: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8.00</w:t>
            </w: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编制单位：托克逊县妇幼保健和计划生育服务中心</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rPr>
            </w:pPr>
          </w:p>
        </w:tc>
      </w:tr>
      <w:tr>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备注：托克逊县妇幼保健和计划生育服务中心2024年没有使用国有资本经营预算拨款安排的支出，国有资本经营预算支出情况表为空表。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编制单位：托克逊县妇幼保健和计划生育服务中心</w:t>
            </w:r>
          </w:p>
        </w:tc>
        <w:tc>
          <w:tcPr>
            <w:tcW w:w="1312"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5.00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5.00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5.00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5.00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5.00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5.00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bl>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编制单位：托克逊县妇幼保健和计划生育服务中心</w:t>
            </w:r>
          </w:p>
        </w:tc>
        <w:tc>
          <w:tcPr>
            <w:tcW w:w="2000" w:type="dxa"/>
            <w:gridSpan w:val="2"/>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rPr>
            </w:pPr>
          </w:p>
        </w:tc>
        <w:tc>
          <w:tcPr>
            <w:tcW w:w="890"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rPr>
            </w:pPr>
          </w:p>
        </w:tc>
        <w:tc>
          <w:tcPr>
            <w:tcW w:w="813"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备注：托克逊县妇幼保健和计划生育服务中心2024年无上年结转结余预算的支出，结转结余预算支出情况表为空表。</w:t>
      </w:r>
    </w:p>
    <w:p>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ascii="楷体_GB2312" w:hAnsi="楷体_GB2312" w:eastAsia="楷体_GB2312"/>
          <w:color w:val="auto"/>
          <w:kern w:val="0"/>
          <w:sz w:val="32"/>
          <w:szCs w:val="32"/>
        </w:rPr>
      </w:pP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关于托克逊县妇幼保健和计划生育服务中心单位2024年收支预算情况的总体说明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按照全口径预算的原则，托克逊县妇幼保健和计划生育服务中心单位2024年所有收入和支出均纳入单位预算管理。收支总预算779.59万元。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支出预算包括：社会保障和就业支出、卫生健康支出、住房保障支出、其他支出。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二、关于托克逊县妇幼保健和计划生育服务中心单位2024年收入预算情况说明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托克逊县妇幼保健和计划生育服务中心单位收入预算779.59万元，其中：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一般公共预算543.99万元，占69.78%，比上年预算减少74.35万元，下降12.02%，主要原因是本年在职人员4人退休、相应人员工资、社保、公积金、公用经费减少，导致比上年度预算数减少；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上级一般公共预算安排的转移支付资金未安排。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上级政府性基金安排的转移支付8.00万元，占1.03%，比上年预算增加8.00万元，增长100.00%，主要原因是</w:t>
      </w:r>
      <w:r>
        <w:rPr>
          <w:rFonts w:hint="eastAsia" w:ascii="仿宋_GB2312" w:hAnsi="宋体" w:eastAsia="仿宋_GB2312" w:cs="宋体"/>
          <w:color w:val="auto"/>
          <w:kern w:val="0"/>
          <w:sz w:val="32"/>
          <w:szCs w:val="32"/>
          <w:lang w:val="en-US" w:eastAsia="zh-CN"/>
        </w:rPr>
        <w:t>新增</w:t>
      </w:r>
      <w:r>
        <w:rPr>
          <w:rFonts w:hint="eastAsia" w:ascii="仿宋_GB2312" w:hAnsi="宋体" w:eastAsia="仿宋_GB2312" w:cs="宋体"/>
          <w:color w:val="auto"/>
          <w:kern w:val="0"/>
          <w:sz w:val="32"/>
          <w:szCs w:val="32"/>
        </w:rPr>
        <w:t>2024年中央专项彩票公益金支持地方社会公益事业发展（医疗救助）资金，导致比上年度预算数增加；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单位资金227.60万元，占29.19%，比上年预算增加15.33万元，增长7.22%，主要原因是本年度预拨付2022-2023年妇保儿保补助资金，导致比上年度预算数增加；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财政拨款结转0.00万元，占0.00%，比上年预算减少27.60万元，下降100.00%，主要原因是</w:t>
      </w:r>
      <w:r>
        <w:rPr>
          <w:rFonts w:hint="eastAsia" w:ascii="仿宋_GB2312" w:hAnsi="宋体" w:eastAsia="仿宋_GB2312" w:cs="宋体"/>
          <w:color w:val="auto"/>
          <w:kern w:val="0"/>
          <w:sz w:val="32"/>
          <w:szCs w:val="32"/>
          <w:lang w:val="en-US" w:eastAsia="zh-CN"/>
        </w:rPr>
        <w:t>上年结转本年孕产妇和儿童保健项目资金、农牧民计划生育免费技术服务补助资金已支付完毕、</w:t>
      </w:r>
      <w:r>
        <w:rPr>
          <w:rFonts w:hint="eastAsia" w:ascii="仿宋_GB2312" w:hAnsi="宋体" w:eastAsia="仿宋_GB2312" w:cs="宋体"/>
          <w:color w:val="auto"/>
          <w:kern w:val="0"/>
          <w:sz w:val="32"/>
          <w:szCs w:val="32"/>
        </w:rPr>
        <w:t>2024年未安排财政资金结转，导致比上年度预算数减少；</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三、关于托克逊县妇幼保健和计划生育服务中心单位2024年支出预算情况说明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托克逊县妇幼保健和计划生育服务中心单位2024年支出预算779.59万元，其中：</w:t>
      </w:r>
    </w:p>
    <w:p>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基本支出543.99万元，占69.78%，比上年预算减少54.35万元，下降9.08%，主要原因是本年在职人员4人退休、相应人员工资、社保、公积金、公用经费减少。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项目支出235.60万元，占30.22%，比上年预算减少24.27万元，下降9.34%，主要原因是政策调整生育开放，计划生育免费技术服务县级项目已取消，妇保工作县级项目划分给卫生服务中心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导致比上年度预算数减少。</w:t>
      </w:r>
    </w:p>
    <w:p>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四、关于托克逊县妇幼保健和计划生育服务中心单位2024年财政拨款收支预算情况的总体说明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2024年财政拨款收支总预算551.99万元。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收入预算包括：一般公共预算拨款543.99万元，政府性基金预算拨款8.00万元。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65.02万元，主要用于单位人员社保缴费支出;卫生健康支出435.22万元，主要用于保障单位正常运行的人员经费、公用经费支出及单位人员医疗保险缴费支出;住房保障支出43.75万元，主要用于单位人员住房公积金缴费支出。</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政府性基金预算支出包括：其他支出8.00万元，主要用于2024年完成2000名适龄妇女宫颈癌检查所需一切费用。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五、关于托克逊县妇幼保健和计划生育服务中心单位2024年一般公共预算当年拨款情况说明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托克逊县妇幼保健和计划生育服务中心单位2024年一般公共预算拨款合计543.99万元，其中：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基本支出543.99万元，比上年预算减少54.35万元，下降9.08%。主要原因是：在职转退休人员增加4人，工资调整；因政策调整</w:t>
      </w:r>
      <w:r>
        <w:rPr>
          <w:rFonts w:hint="eastAsia" w:ascii="仿宋_GB2312" w:eastAsia="仿宋_GB2312"/>
          <w:color w:val="auto"/>
          <w:sz w:val="32"/>
          <w:szCs w:val="32"/>
          <w:lang w:eastAsia="zh-CN"/>
        </w:rPr>
        <w:t>，</w:t>
      </w:r>
      <w:r>
        <w:rPr>
          <w:rFonts w:hint="eastAsia" w:ascii="仿宋_GB2312" w:eastAsia="仿宋_GB2312"/>
          <w:color w:val="auto"/>
          <w:sz w:val="32"/>
          <w:szCs w:val="32"/>
        </w:rPr>
        <w:t>退休医疗不在安排预算等原因，导致比上年度预算数减少。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项目支出0.00万元，比上年预算减少20.00万元，下降100.00%。主要原因是：</w:t>
      </w:r>
      <w:r>
        <w:rPr>
          <w:rFonts w:hint="eastAsia" w:ascii="仿宋_GB2312" w:eastAsia="仿宋_GB2312"/>
          <w:color w:val="auto"/>
          <w:sz w:val="32"/>
          <w:szCs w:val="32"/>
          <w:lang w:val="en-US" w:eastAsia="zh-CN"/>
        </w:rPr>
        <w:t>本年度</w:t>
      </w:r>
      <w:r>
        <w:rPr>
          <w:rFonts w:hint="eastAsia" w:ascii="仿宋_GB2312" w:eastAsia="仿宋_GB2312"/>
          <w:color w:val="auto"/>
          <w:sz w:val="32"/>
          <w:szCs w:val="32"/>
        </w:rPr>
        <w:t>我单位未安排</w:t>
      </w:r>
      <w:r>
        <w:rPr>
          <w:rFonts w:hint="eastAsia" w:ascii="仿宋_GB2312" w:hAnsi="宋体" w:eastAsia="仿宋_GB2312" w:cs="宋体"/>
          <w:color w:val="auto"/>
          <w:kern w:val="0"/>
          <w:sz w:val="32"/>
          <w:szCs w:val="32"/>
        </w:rPr>
        <w:t>一般公共预算</w:t>
      </w:r>
      <w:r>
        <w:rPr>
          <w:rFonts w:hint="eastAsia" w:ascii="仿宋_GB2312" w:eastAsia="仿宋_GB2312"/>
          <w:color w:val="auto"/>
          <w:sz w:val="32"/>
          <w:szCs w:val="32"/>
        </w:rPr>
        <w:t>项目支出预算。</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1.社会保障和就业支出（类）65.02万元，占11.95%。</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2.卫生健康支出（类）435.22万元，占80.01%。</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3.住房保障支出（类）43.75万元，占8.04%。</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9.93万元，比上年预算增加3.03万元，增长43.91%，主要原因是：本年度新增4名退休人员退休费增加，导致事业单位离退休预算比上年度预算数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55.09万元，比上年预算减少2.94万元，下降5.07%，主要原因是：退休人员增加4人，在职人员减少，导致机关事业单位基本养老保险缴费支出预算比上年度预算数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公共卫生（款）妇幼保健机构（项）：2024年预算数为411.87万元，比上年预算减少22.37万元，下降5.15%，主要原因是：退休人员增加4人，在职人员减少，妇幼保健机构预算安排减少，导致比上年度预算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行政事业单位医疗（款）事业单位医疗（项）：2024年预算数为23.35万元，比上年预算减少1.25万元，下降5.08%，主要原因是：4名在职人员退休，在职人员减少，导致事业单位医疗预算比上年度预算数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住房保障支出（类）住房改革支出（款）住房公积金（项）：2024年预算数为43.75万元，比上年预算减少1.81万元，下降3.97%，主要原因是：4名在职人员退休，在职人员减少，导致住房公积金预算比上年度预算数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社会保障和就业支出（类）行政事业单位养老支出（款）机关事业单位职业年金缴费支出（项）：2024年预算数为0.00万元，比上年预算减少29.01万元，下降100.00%，主要原因是：本年度职业年金预算由政府（财政）预算代列，未直接提现在部门预算里，导致本单位该项预算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卫生健康支出（类）公共卫生（款）其他公共卫生支出（项）：2024年预算数为0.00万元，比上年预算减少10.00万元，下降100.00%，主要原因是：政策调整生育开放，计划生育免费技术服务县级项目已取消，导致其他公共卫生支出预算比上年度预算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卫生健康支出（类）计划生育事务（款）计划生育服务（项）：2024年预算数为0.00万元，比上年预算减少10.00万元，下降100.00%，主要原因是：政策调整生育开放，计划生育免费技术服务县级项目已取消，导致计划生育服务预算比上年度预算减少。</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六、关于托克逊县妇幼保健和计划生育服务中心单位2024年一般公共预算基本支出情况说明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托克逊县妇幼保健和计划生育服务中心单位2024年一般公共预算基本支出543.99万元，其中：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人员经费501.19万元，主要包括：基本工资、津贴补贴、奖金、绩效工资、机关事业单位基本养老保险缴费、职工基本医疗保险缴费、其他社会保障缴费、住房公积金、其他工资福利支出、退休费。</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公用经费42.80万元，主要包括：办公费、印刷费、手续费、水费、电费、邮电费、取暖费、物业管理费、差旅费、维修（护）费、劳务费、工会经费、公务用车运行维护费、其他商品和服务支出。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七、关于托克逊县妇幼保健和计划生育服务中心单位2024年一般公共预算项目支出情况说明</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托克逊县妇幼保健和计划生育服务中心单位2024年没有使用一般公共预算项目支出，一般公共预算项目支出情况表为空表。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八、关于托克逊县妇幼保健和计划生育服务中心单位2024年政府性基金预算拨款情况说明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托克逊县妇幼保健和计划生育服务中心2024政府性基金支出预算支出8.00万元。与上年相比增加8.00万元，增长100.00%。主要原因是2024年增加新的项目中央专项彩票公益金项目，导致比上年度预算数增加。其中：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1．其他支出（类）彩票公益金安排的支出（款）用于城乡医疗救助的彩票公益金支出（项）支出8.00万元，与上年相比增加8.00万元，增长100.00%，主要是用于2024年完成2000名适龄妇女宫颈癌检查所需费用。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九、关于托克逊县妇幼保健和计划生育服务中心单位2024年国有资本经营预算拨款情况说明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十、关于托克逊县妇幼保健和计划生育服务中心单位2024年财政拨款“三公”经费预算情况说明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托克逊县妇幼保健和计划生育服务中心单位2024年财政拨款“三公”经费数为5.00万元，其中：因公出国（境）费0.00万元，公务用车购置费0.00万元，公务用车运行费5.00万元，公务接待费0.00万元。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增加4.00万元，增长400.00%，其中：因公出国（境）费减少0.00万元，下降0.00%，主要原因是2023与2024年均未安排因公出国(境)费；公务用车购置费减少0.00万元，下降0.00%，主要原因是2023年与2024年均未安排公务用车购置费；公务用车运行费增加4.00万元，增长400.00%，主要原因是我县根据实际用车成本2024年调整公务用车标准，由原先的1</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万元每车每年调整为2</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万元每车每年，因此公务用车运行费增长；公务接待费减少0.00万元，下降0.00%，主要原因是2023年与2024年均未安排公务接待费。</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十一、关于托克逊县妇幼保健和计划生育服务中心单位2024年上年结转结余预算情况说明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托克逊县妇幼保健和计划生育服务中心单位2024年无上年结转结余预算的支出，结转结余预算支出情况表为空表。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托克逊县妇幼保健和计划生育服务中心单位2024年的事业单位运行经费财政拨款预算42.80万元，比上年预算减少6.76万元，下降13.64%。主要原因是4名在职转退休，</w:t>
      </w:r>
      <w:r>
        <w:rPr>
          <w:rFonts w:hint="eastAsia" w:ascii="仿宋_GB2312" w:hAnsi="宋体" w:eastAsia="仿宋_GB2312" w:cs="宋体"/>
          <w:color w:val="auto"/>
          <w:kern w:val="0"/>
          <w:sz w:val="32"/>
          <w:szCs w:val="32"/>
          <w:lang w:val="en-US" w:eastAsia="zh-CN"/>
        </w:rPr>
        <w:t>追减公用经费</w:t>
      </w:r>
      <w:r>
        <w:rPr>
          <w:rFonts w:hint="eastAsia" w:ascii="仿宋_GB2312" w:hAnsi="宋体" w:eastAsia="仿宋_GB2312" w:cs="宋体"/>
          <w:color w:val="auto"/>
          <w:kern w:val="0"/>
          <w:sz w:val="32"/>
          <w:szCs w:val="32"/>
        </w:rPr>
        <w:t>，导致运行经费财政拨款预算比上年度预算数减少。</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2024年，托克逊县妇幼保健和计划生育服务中心单位政府采购预算63.16万元，其中：政府采购货物预算31.48万元，政府采购工程预算10</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万元，政府采购服务预算21.68万元。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2024年，托克逊县妇幼保健和计划生育服务中心单位面向中小企业预留政府采购项目预算金额39.56万元，小微企业预留政府采购项目预算金额39.56万元。</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截至2023年底，托克逊县妇幼保健和计划生育服务中心单位及下属各预算单位占用使用国有资产总体情况为：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1.房屋4472.43平方米，价值372.58万元。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2.车辆6辆，价值107.38万元；其中：一般公务用车1辆，价值20万元；执法执勤用车0辆，价值0万元；其他车辆5辆，价值87.38万元。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3.办公家具价值43.76万元。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4.其他资产价值938.56万元。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单位价值50万元以上大型设备3台，单位价值100万元以上大型设备3台。</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2024年，本单位预算绩效管理整体预算绩效目标1个，涉及金额779.59万元；当年财政拨款项目1个，涉及预算金额8.00万元；当年非财政拨款项目2个，涉及预算金额227.6</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万元。具体情况见下表：</w:t>
      </w:r>
    </w:p>
    <w:p>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860" w:type="dxa"/>
        <w:jc w:val="center"/>
        <w:tblLayout w:type="autofit"/>
        <w:tblCellMar>
          <w:top w:w="0" w:type="dxa"/>
          <w:left w:w="108" w:type="dxa"/>
          <w:bottom w:w="0" w:type="dxa"/>
          <w:right w:w="108" w:type="dxa"/>
        </w:tblCellMar>
      </w:tblPr>
      <w:tblGrid>
        <w:gridCol w:w="1109"/>
        <w:gridCol w:w="1406"/>
        <w:gridCol w:w="2580"/>
        <w:gridCol w:w="1358"/>
        <w:gridCol w:w="2091"/>
        <w:gridCol w:w="1316"/>
      </w:tblGrid>
      <w:tr>
        <w:tblPrEx>
          <w:tblCellMar>
            <w:top w:w="0" w:type="dxa"/>
            <w:left w:w="108" w:type="dxa"/>
            <w:bottom w:w="0" w:type="dxa"/>
            <w:right w:w="108" w:type="dxa"/>
          </w:tblCellMar>
        </w:tblPrEx>
        <w:trPr>
          <w:trHeight w:val="897" w:hRule="atLeast"/>
          <w:jc w:val="center"/>
        </w:trPr>
        <w:tc>
          <w:tcPr>
            <w:tcW w:w="9860" w:type="dxa"/>
            <w:gridSpan w:val="6"/>
            <w:tcBorders>
              <w:top w:val="nil"/>
              <w:left w:val="nil"/>
              <w:bottom w:val="nil"/>
              <w:right w:val="nil"/>
            </w:tcBorders>
            <w:shd w:val="clear" w:color="auto" w:fill="auto"/>
            <w:vAlign w:val="center"/>
          </w:tcPr>
          <w:p>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501" w:hRule="atLeast"/>
          <w:jc w:val="center"/>
        </w:trPr>
        <w:tc>
          <w:tcPr>
            <w:tcW w:w="9860"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668" w:hRule="atLeast"/>
          <w:jc w:val="center"/>
        </w:trPr>
        <w:tc>
          <w:tcPr>
            <w:tcW w:w="25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34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托克逊县妇幼保健和计划生育服务中心</w:t>
            </w:r>
          </w:p>
        </w:tc>
      </w:tr>
      <w:tr>
        <w:tblPrEx>
          <w:tblCellMar>
            <w:top w:w="0" w:type="dxa"/>
            <w:left w:w="108" w:type="dxa"/>
            <w:bottom w:w="0" w:type="dxa"/>
            <w:right w:w="108" w:type="dxa"/>
          </w:tblCellMar>
        </w:tblPrEx>
        <w:trPr>
          <w:trHeight w:val="668" w:hRule="atLeast"/>
          <w:jc w:val="center"/>
        </w:trPr>
        <w:tc>
          <w:tcPr>
            <w:tcW w:w="251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9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刘荣</w:t>
            </w:r>
          </w:p>
        </w:tc>
        <w:tc>
          <w:tcPr>
            <w:tcW w:w="2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15109959165</w:t>
            </w:r>
          </w:p>
        </w:tc>
      </w:tr>
      <w:tr>
        <w:tblPrEx>
          <w:tblCellMar>
            <w:top w:w="0" w:type="dxa"/>
            <w:left w:w="108" w:type="dxa"/>
            <w:bottom w:w="0" w:type="dxa"/>
            <w:right w:w="108" w:type="dxa"/>
          </w:tblCellMar>
        </w:tblPrEx>
        <w:trPr>
          <w:trHeight w:val="2130" w:hRule="atLeast"/>
          <w:jc w:val="center"/>
        </w:trPr>
        <w:tc>
          <w:tcPr>
            <w:tcW w:w="25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345"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1.经开展医疗机构卫生服务体系建设，不断提升服务能力和水平；2.经开展儿童、孕产妇保健服务工作，保障儿童孕产妇保健服务质量不断提升，降低艾滋病母婴传播率；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经开展计划生育宣传教育、技术服务、优生指导、避孕药具发放、信息咨询、随访服务、生殖保健和人员培训、开展国面免孕前优生健康检查和出生缺陷综合防治服务等，不断提高人口素质；4.通过开展婚前医学免费检查，提升我县医学检查目标人群覆盖率，降低新生儿死亡率。</w:t>
            </w:r>
          </w:p>
        </w:tc>
      </w:tr>
      <w:tr>
        <w:tblPrEx>
          <w:tblCellMar>
            <w:top w:w="0" w:type="dxa"/>
            <w:left w:w="108" w:type="dxa"/>
            <w:bottom w:w="0" w:type="dxa"/>
            <w:right w:w="108" w:type="dxa"/>
          </w:tblCellMar>
        </w:tblPrEx>
        <w:trPr>
          <w:trHeight w:val="626" w:hRule="atLeast"/>
          <w:jc w:val="center"/>
        </w:trPr>
        <w:tc>
          <w:tcPr>
            <w:tcW w:w="25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9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4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59" w:hRule="atLeast"/>
          <w:jc w:val="center"/>
        </w:trPr>
        <w:tc>
          <w:tcPr>
            <w:tcW w:w="25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5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4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8.00</w:t>
            </w:r>
          </w:p>
        </w:tc>
      </w:tr>
      <w:tr>
        <w:tblPrEx>
          <w:tblCellMar>
            <w:top w:w="0" w:type="dxa"/>
            <w:left w:w="108" w:type="dxa"/>
            <w:bottom w:w="0" w:type="dxa"/>
            <w:right w:w="108" w:type="dxa"/>
          </w:tblCellMar>
        </w:tblPrEx>
        <w:trPr>
          <w:trHeight w:val="501" w:hRule="atLeast"/>
          <w:jc w:val="center"/>
        </w:trPr>
        <w:tc>
          <w:tcPr>
            <w:tcW w:w="25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58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4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749.49</w:t>
            </w:r>
          </w:p>
        </w:tc>
      </w:tr>
      <w:tr>
        <w:tblPrEx>
          <w:tblCellMar>
            <w:top w:w="0" w:type="dxa"/>
            <w:left w:w="108" w:type="dxa"/>
            <w:bottom w:w="0" w:type="dxa"/>
            <w:right w:w="108" w:type="dxa"/>
          </w:tblCellMar>
        </w:tblPrEx>
        <w:trPr>
          <w:trHeight w:val="501" w:hRule="atLeast"/>
          <w:jc w:val="center"/>
        </w:trPr>
        <w:tc>
          <w:tcPr>
            <w:tcW w:w="25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4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22.10</w:t>
            </w:r>
          </w:p>
        </w:tc>
      </w:tr>
      <w:tr>
        <w:tblPrEx>
          <w:tblCellMar>
            <w:top w:w="0" w:type="dxa"/>
            <w:left w:w="108" w:type="dxa"/>
            <w:bottom w:w="0" w:type="dxa"/>
            <w:right w:w="108" w:type="dxa"/>
          </w:tblCellMar>
        </w:tblPrEx>
        <w:trPr>
          <w:trHeight w:val="563" w:hRule="atLeast"/>
          <w:jc w:val="center"/>
        </w:trPr>
        <w:tc>
          <w:tcPr>
            <w:tcW w:w="110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4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501" w:hRule="atLeast"/>
          <w:jc w:val="center"/>
        </w:trPr>
        <w:tc>
          <w:tcPr>
            <w:tcW w:w="110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管理效率</w:t>
            </w:r>
          </w:p>
        </w:tc>
        <w:tc>
          <w:tcPr>
            <w:tcW w:w="14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辖区年度妇女儿童健康状况报告提交时限</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2023年3月25日</w:t>
            </w:r>
          </w:p>
        </w:tc>
        <w:tc>
          <w:tcPr>
            <w:tcW w:w="2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CellMar>
            <w:top w:w="0" w:type="dxa"/>
            <w:left w:w="108" w:type="dxa"/>
            <w:bottom w:w="0" w:type="dxa"/>
            <w:right w:w="108" w:type="dxa"/>
          </w:tblCellMar>
        </w:tblPrEx>
        <w:trPr>
          <w:trHeight w:val="501" w:hRule="atLeast"/>
          <w:jc w:val="center"/>
        </w:trPr>
        <w:tc>
          <w:tcPr>
            <w:tcW w:w="11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4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孕前优生健康检查夫妻数</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≥350对</w:t>
            </w:r>
          </w:p>
        </w:tc>
        <w:tc>
          <w:tcPr>
            <w:tcW w:w="2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501" w:hRule="atLeast"/>
          <w:jc w:val="center"/>
        </w:trPr>
        <w:tc>
          <w:tcPr>
            <w:tcW w:w="110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辖区7岁以下儿童健康管理率</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≥85%</w:t>
            </w:r>
          </w:p>
        </w:tc>
        <w:tc>
          <w:tcPr>
            <w:tcW w:w="2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501" w:hRule="atLeast"/>
          <w:jc w:val="center"/>
        </w:trPr>
        <w:tc>
          <w:tcPr>
            <w:tcW w:w="110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婚前免费医学检查率</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2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501" w:hRule="atLeast"/>
          <w:jc w:val="center"/>
        </w:trPr>
        <w:tc>
          <w:tcPr>
            <w:tcW w:w="110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计划生育技术服务覆盖率</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2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CellMar>
            <w:top w:w="0" w:type="dxa"/>
            <w:left w:w="108" w:type="dxa"/>
            <w:bottom w:w="0" w:type="dxa"/>
            <w:right w:w="108" w:type="dxa"/>
          </w:tblCellMar>
        </w:tblPrEx>
        <w:trPr>
          <w:trHeight w:val="563" w:hRule="atLeast"/>
          <w:jc w:val="center"/>
        </w:trPr>
        <w:tc>
          <w:tcPr>
            <w:tcW w:w="110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专业技术人员进修学习人数</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≥1人</w:t>
            </w:r>
          </w:p>
        </w:tc>
        <w:tc>
          <w:tcPr>
            <w:tcW w:w="2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CellMar>
            <w:top w:w="0" w:type="dxa"/>
            <w:left w:w="108" w:type="dxa"/>
            <w:bottom w:w="0" w:type="dxa"/>
            <w:right w:w="108" w:type="dxa"/>
          </w:tblCellMar>
        </w:tblPrEx>
        <w:trPr>
          <w:trHeight w:val="501" w:hRule="atLeast"/>
          <w:jc w:val="center"/>
        </w:trPr>
        <w:tc>
          <w:tcPr>
            <w:tcW w:w="110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w:t>
            </w:r>
          </w:p>
        </w:tc>
        <w:tc>
          <w:tcPr>
            <w:tcW w:w="14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新生儿死亡率</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r>
              <w:rPr>
                <w:rFonts w:ascii="宋体" w:hAnsi="宋体" w:cs="Arial"/>
                <w:color w:val="auto"/>
                <w:kern w:val="0"/>
                <w:sz w:val="18"/>
                <w:szCs w:val="18"/>
              </w:rPr>
              <w:t>‰</w:t>
            </w:r>
          </w:p>
        </w:tc>
        <w:tc>
          <w:tcPr>
            <w:tcW w:w="2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501" w:hRule="atLeast"/>
          <w:jc w:val="center"/>
        </w:trPr>
        <w:tc>
          <w:tcPr>
            <w:tcW w:w="110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艾滋病母婴传播率下降至</w:t>
            </w:r>
          </w:p>
        </w:tc>
        <w:tc>
          <w:tcPr>
            <w:tcW w:w="13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2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bl>
    <w:p>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tbl>
      <w:tblPr>
        <w:tblStyle w:val="4"/>
        <w:tblW w:w="10300" w:type="dxa"/>
        <w:jc w:val="center"/>
        <w:tblLayout w:type="autofit"/>
        <w:tblCellMar>
          <w:top w:w="0" w:type="dxa"/>
          <w:left w:w="108" w:type="dxa"/>
          <w:bottom w:w="0" w:type="dxa"/>
          <w:right w:w="108" w:type="dxa"/>
        </w:tblCellMar>
      </w:tblPr>
      <w:tblGrid>
        <w:gridCol w:w="889"/>
        <w:gridCol w:w="1191"/>
        <w:gridCol w:w="1980"/>
        <w:gridCol w:w="1060"/>
        <w:gridCol w:w="1200"/>
        <w:gridCol w:w="940"/>
        <w:gridCol w:w="920"/>
        <w:gridCol w:w="1181"/>
        <w:gridCol w:w="939"/>
      </w:tblGrid>
      <w:tr>
        <w:tblPrEx>
          <w:tblCellMar>
            <w:top w:w="0" w:type="dxa"/>
            <w:left w:w="108" w:type="dxa"/>
            <w:bottom w:w="0" w:type="dxa"/>
            <w:right w:w="108" w:type="dxa"/>
          </w:tblCellMar>
        </w:tblPrEx>
        <w:trPr>
          <w:trHeight w:val="440" w:hRule="atLeast"/>
          <w:jc w:val="center"/>
        </w:trPr>
        <w:tc>
          <w:tcPr>
            <w:tcW w:w="10300"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30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22"/>
              </w:rPr>
              <w:t>(2024年)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2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托克逊县妇幼保健和计划生育服务中心</w:t>
            </w:r>
          </w:p>
        </w:tc>
      </w:tr>
      <w:tr>
        <w:tblPrEx>
          <w:tblCellMar>
            <w:top w:w="0" w:type="dxa"/>
            <w:left w:w="108" w:type="dxa"/>
            <w:bottom w:w="0" w:type="dxa"/>
            <w:right w:w="108" w:type="dxa"/>
          </w:tblCellMar>
        </w:tblPrEx>
        <w:trPr>
          <w:trHeight w:val="6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吐市财综[2023]11号2024年中央专项彩票公益金支持地方社会公益事业发展（医疗救助）资金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帕孜拉古丽·尼亚孜</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8.00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22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目标1：通过开展2000名35-64岁农村适龄妇女宫颈癌检查，逐步提高全县妇女整体健康水平；</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目标2：在开展宫颈癌检查的同时进行宫颈癌防治知识宣传，制作宣传品4623份，提高适龄妇女两癌核心知识知晓率。</w:t>
            </w:r>
          </w:p>
        </w:tc>
      </w:tr>
      <w:tr>
        <w:tblPrEx>
          <w:tblCellMar>
            <w:top w:w="0" w:type="dxa"/>
            <w:left w:w="108" w:type="dxa"/>
            <w:bottom w:w="0" w:type="dxa"/>
            <w:right w:w="108" w:type="dxa"/>
          </w:tblCellMar>
        </w:tblPrEx>
        <w:trPr>
          <w:trHeight w:val="520" w:hRule="atLeast"/>
          <w:jc w:val="center"/>
        </w:trPr>
        <w:tc>
          <w:tcPr>
            <w:tcW w:w="88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20" w:hRule="atLeast"/>
          <w:jc w:val="center"/>
        </w:trPr>
        <w:tc>
          <w:tcPr>
            <w:tcW w:w="8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191"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auto" w:fill="auto"/>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35-64岁农村适龄妇女宫颈癌检查人数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≥2000人</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191"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宣传品制作数量</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≥4623份</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191"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初筛异常/可疑病例的随访管理率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191"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宫颈癌早诊率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1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项目完成及时率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8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1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异常/可疑病例检查费用</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≤22000元</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19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宣传品制作费</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≤32900元</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88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19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日常公用支出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≤25100元</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889"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19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nil"/>
              <w:left w:val="nil"/>
              <w:bottom w:val="single" w:color="auto" w:sz="4" w:space="0"/>
              <w:right w:val="single" w:color="auto" w:sz="4" w:space="0"/>
            </w:tcBorders>
            <w:shd w:val="clear" w:color="auto" w:fill="auto"/>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适龄妇女两癌核心知识知晓率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1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服务对象满意度</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≥80%</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1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ascii="楷体_GB2312" w:hAnsi="楷体_GB2312" w:eastAsia="楷体_GB2312" w:cs="宋体"/>
          <w:b/>
          <w:color w:val="auto"/>
          <w:kern w:val="0"/>
          <w:sz w:val="32"/>
          <w:szCs w:val="32"/>
        </w:rPr>
      </w:pPr>
    </w:p>
    <w:p>
      <w:pPr>
        <w:widowControl/>
        <w:spacing w:line="520" w:lineRule="exact"/>
        <w:ind w:firstLine="630" w:firstLineChars="196"/>
        <w:jc w:val="left"/>
        <w:rPr>
          <w:rFonts w:ascii="楷体_GB2312" w:hAnsi="楷体_GB2312" w:eastAsia="楷体_GB2312" w:cs="宋体"/>
          <w:b/>
          <w:color w:val="auto"/>
          <w:kern w:val="0"/>
          <w:sz w:val="32"/>
          <w:szCs w:val="32"/>
        </w:rPr>
      </w:pPr>
      <w:r>
        <w:rPr>
          <w:rFonts w:ascii="楷体_GB2312" w:hAnsi="楷体_GB2312" w:eastAsia="楷体_GB2312" w:cs="宋体"/>
          <w:b/>
          <w:color w:val="auto"/>
          <w:kern w:val="0"/>
          <w:sz w:val="32"/>
          <w:szCs w:val="32"/>
        </w:rPr>
        <w:br w:type="page"/>
      </w:r>
    </w:p>
    <w:tbl>
      <w:tblPr>
        <w:tblStyle w:val="4"/>
        <w:tblW w:w="10720" w:type="dxa"/>
        <w:jc w:val="center"/>
        <w:tblLayout w:type="autofit"/>
        <w:tblCellMar>
          <w:top w:w="0" w:type="dxa"/>
          <w:left w:w="108" w:type="dxa"/>
          <w:bottom w:w="0" w:type="dxa"/>
          <w:right w:w="108" w:type="dxa"/>
        </w:tblCellMar>
      </w:tblPr>
      <w:tblGrid>
        <w:gridCol w:w="1000"/>
        <w:gridCol w:w="1120"/>
        <w:gridCol w:w="1920"/>
        <w:gridCol w:w="1220"/>
        <w:gridCol w:w="1180"/>
        <w:gridCol w:w="840"/>
        <w:gridCol w:w="840"/>
        <w:gridCol w:w="1100"/>
        <w:gridCol w:w="1500"/>
      </w:tblGrid>
      <w:tr>
        <w:tblPrEx>
          <w:tblCellMar>
            <w:top w:w="0" w:type="dxa"/>
            <w:left w:w="108" w:type="dxa"/>
            <w:bottom w:w="0" w:type="dxa"/>
            <w:right w:w="108" w:type="dxa"/>
          </w:tblCellMar>
        </w:tblPrEx>
        <w:trPr>
          <w:trHeight w:val="420" w:hRule="atLeast"/>
          <w:jc w:val="center"/>
        </w:trPr>
        <w:tc>
          <w:tcPr>
            <w:tcW w:w="1072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0" w:hRule="atLeast"/>
          <w:jc w:val="center"/>
        </w:trPr>
        <w:tc>
          <w:tcPr>
            <w:tcW w:w="1072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22"/>
              </w:rPr>
              <w:t>(2024年)</w:t>
            </w:r>
          </w:p>
        </w:tc>
      </w:tr>
      <w:tr>
        <w:tblPrEx>
          <w:tblCellMar>
            <w:top w:w="0" w:type="dxa"/>
            <w:left w:w="108" w:type="dxa"/>
            <w:bottom w:w="0" w:type="dxa"/>
            <w:right w:w="108" w:type="dxa"/>
          </w:tblCellMar>
        </w:tblPrEx>
        <w:trPr>
          <w:trHeight w:val="521"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6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托克逊县妇幼保健和计划生育服务中心</w:t>
            </w:r>
          </w:p>
        </w:tc>
      </w:tr>
      <w:tr>
        <w:tblPrEx>
          <w:tblCellMar>
            <w:top w:w="0" w:type="dxa"/>
            <w:left w:w="108" w:type="dxa"/>
            <w:bottom w:w="0" w:type="dxa"/>
            <w:right w:w="108" w:type="dxa"/>
          </w:tblCellMar>
        </w:tblPrEx>
        <w:trPr>
          <w:trHeight w:val="556"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51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基本公卫服务经费项目（单位实有资金)</w:t>
            </w:r>
          </w:p>
        </w:tc>
        <w:tc>
          <w:tcPr>
            <w:tcW w:w="1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刘荣</w:t>
            </w:r>
          </w:p>
        </w:tc>
      </w:tr>
      <w:tr>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22.10</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22.10</w:t>
            </w:r>
          </w:p>
        </w:tc>
      </w:tr>
      <w:tr>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60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目标1：通过开展孕产妇建档立卡工作，不断提高早孕建册率。目标2：通过开展孕产妇健康管理服务，保障辖区内孕产妇身体健康；</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目标3：通过开展叶酸知识宣传，提高孕产妇孕前孕中补充叶酸预防出生缺陷知晓率。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目标4：通过单位自有资金保障劳务派遣人员17人，保障各项工作正常开展。</w:t>
            </w:r>
          </w:p>
        </w:tc>
      </w:tr>
      <w:tr>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早孕建册率</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98.16%</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孕产妇系统管理率</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97.04%</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劳务派遣人员数量</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&gt;=17人</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14人</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辖区内孕产妇贫血患病率</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&lt;=47%</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47.86%</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劳务派遣人员工资发放及时率</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劳务费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&lt;=167898元</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9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办公费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&lt;=49600元</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孕产妇叶酸知识知晓率</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9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群众对医务人员的满意度</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ascii="楷体_GB2312" w:hAnsi="楷体_GB2312" w:eastAsia="楷体_GB2312" w:cs="宋体"/>
          <w:b/>
          <w:color w:val="auto"/>
          <w:kern w:val="0"/>
          <w:sz w:val="32"/>
          <w:szCs w:val="32"/>
        </w:rPr>
      </w:pPr>
    </w:p>
    <w:p>
      <w:pPr>
        <w:widowControl/>
        <w:spacing w:line="520" w:lineRule="exact"/>
        <w:ind w:firstLine="630" w:firstLineChars="196"/>
        <w:jc w:val="left"/>
        <w:rPr>
          <w:rFonts w:ascii="楷体_GB2312" w:hAnsi="楷体_GB2312" w:eastAsia="楷体_GB2312" w:cs="宋体"/>
          <w:b/>
          <w:color w:val="auto"/>
          <w:kern w:val="0"/>
          <w:sz w:val="32"/>
          <w:szCs w:val="32"/>
        </w:rPr>
      </w:pPr>
      <w:r>
        <w:rPr>
          <w:rFonts w:ascii="楷体_GB2312" w:hAnsi="楷体_GB2312" w:eastAsia="楷体_GB2312" w:cs="宋体"/>
          <w:b/>
          <w:color w:val="auto"/>
          <w:kern w:val="0"/>
          <w:sz w:val="32"/>
          <w:szCs w:val="32"/>
        </w:rPr>
        <w:br w:type="page"/>
      </w:r>
    </w:p>
    <w:tbl>
      <w:tblPr>
        <w:tblStyle w:val="4"/>
        <w:tblW w:w="10532" w:type="dxa"/>
        <w:jc w:val="center"/>
        <w:tblLayout w:type="autofit"/>
        <w:tblCellMar>
          <w:top w:w="0" w:type="dxa"/>
          <w:left w:w="108" w:type="dxa"/>
          <w:bottom w:w="0" w:type="dxa"/>
          <w:right w:w="108" w:type="dxa"/>
        </w:tblCellMar>
      </w:tblPr>
      <w:tblGrid>
        <w:gridCol w:w="954"/>
        <w:gridCol w:w="1071"/>
        <w:gridCol w:w="1967"/>
        <w:gridCol w:w="1070"/>
        <w:gridCol w:w="1375"/>
        <w:gridCol w:w="804"/>
        <w:gridCol w:w="802"/>
        <w:gridCol w:w="1052"/>
        <w:gridCol w:w="1437"/>
      </w:tblGrid>
      <w:tr>
        <w:tblPrEx>
          <w:tblCellMar>
            <w:top w:w="0" w:type="dxa"/>
            <w:left w:w="108" w:type="dxa"/>
            <w:bottom w:w="0" w:type="dxa"/>
            <w:right w:w="108" w:type="dxa"/>
          </w:tblCellMar>
        </w:tblPrEx>
        <w:trPr>
          <w:trHeight w:val="426" w:hRule="atLeast"/>
          <w:jc w:val="center"/>
        </w:trPr>
        <w:tc>
          <w:tcPr>
            <w:tcW w:w="10532"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4" w:hRule="atLeast"/>
          <w:jc w:val="center"/>
        </w:trPr>
        <w:tc>
          <w:tcPr>
            <w:tcW w:w="10532" w:type="dxa"/>
            <w:gridSpan w:val="9"/>
            <w:tcBorders>
              <w:top w:val="nil"/>
              <w:left w:val="nil"/>
              <w:bottom w:val="nil"/>
              <w:right w:val="nil"/>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22"/>
              </w:rPr>
              <w:t>(2024年)</w:t>
            </w:r>
          </w:p>
        </w:tc>
      </w:tr>
      <w:tr>
        <w:tblPrEx>
          <w:tblCellMar>
            <w:top w:w="0" w:type="dxa"/>
            <w:left w:w="108" w:type="dxa"/>
            <w:bottom w:w="0" w:type="dxa"/>
            <w:right w:w="108" w:type="dxa"/>
          </w:tblCellMar>
        </w:tblPrEx>
        <w:trPr>
          <w:trHeight w:val="528"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505"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托克逊县妇幼保健和计划生育服务中心</w:t>
            </w:r>
          </w:p>
        </w:tc>
      </w:tr>
      <w:tr>
        <w:tblPrEx>
          <w:tblCellMar>
            <w:top w:w="0" w:type="dxa"/>
            <w:left w:w="108" w:type="dxa"/>
            <w:bottom w:w="0" w:type="dxa"/>
            <w:right w:w="108" w:type="dxa"/>
          </w:tblCellMar>
        </w:tblPrEx>
        <w:trPr>
          <w:trHeight w:val="564"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5218"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综合业务经费（单位实有资金）</w:t>
            </w:r>
          </w:p>
        </w:tc>
        <w:tc>
          <w:tcPr>
            <w:tcW w:w="1854"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433" w:type="dxa"/>
            <w:tcBorders>
              <w:top w:val="nil"/>
              <w:left w:val="nil"/>
              <w:bottom w:val="single" w:color="auto" w:sz="4" w:space="0"/>
              <w:right w:val="single" w:color="auto" w:sz="4" w:space="0"/>
            </w:tcBorders>
            <w:shd w:val="clear" w:color="auto" w:fill="auto"/>
            <w:noWrap/>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刘荣</w:t>
            </w:r>
          </w:p>
        </w:tc>
      </w:tr>
      <w:tr>
        <w:tblPrEx>
          <w:tblCellMar>
            <w:top w:w="0" w:type="dxa"/>
            <w:left w:w="108" w:type="dxa"/>
            <w:bottom w:w="0" w:type="dxa"/>
            <w:right w:w="108" w:type="dxa"/>
          </w:tblCellMar>
        </w:tblPrEx>
        <w:trPr>
          <w:trHeight w:val="558"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205.</w:t>
            </w:r>
            <w:r>
              <w:rPr>
                <w:rFonts w:hint="eastAsia" w:ascii="宋体" w:hAnsi="宋体" w:cs="宋体"/>
                <w:color w:val="auto"/>
                <w:kern w:val="0"/>
                <w:sz w:val="18"/>
                <w:szCs w:val="18"/>
                <w:lang w:val="en-US" w:eastAsia="zh-CN"/>
              </w:rPr>
              <w:t>50</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05"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205.</w:t>
            </w:r>
            <w:r>
              <w:rPr>
                <w:rFonts w:hint="eastAsia" w:ascii="宋体" w:hAnsi="宋体" w:cs="宋体"/>
                <w:color w:val="auto"/>
                <w:kern w:val="0"/>
                <w:sz w:val="18"/>
                <w:szCs w:val="18"/>
                <w:lang w:val="en-US" w:eastAsia="zh-CN"/>
              </w:rPr>
              <w:t>50</w:t>
            </w:r>
          </w:p>
        </w:tc>
      </w:tr>
      <w:tr>
        <w:tblPrEx>
          <w:tblCellMar>
            <w:top w:w="0" w:type="dxa"/>
            <w:left w:w="108" w:type="dxa"/>
            <w:bottom w:w="0" w:type="dxa"/>
            <w:right w:w="108" w:type="dxa"/>
          </w:tblCellMar>
        </w:tblPrEx>
        <w:trPr>
          <w:trHeight w:val="1014" w:hRule="atLeast"/>
          <w:jc w:val="center"/>
        </w:trPr>
        <w:tc>
          <w:tcPr>
            <w:tcW w:w="20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505" w:type="dxa"/>
            <w:gridSpan w:val="7"/>
            <w:tcBorders>
              <w:top w:val="single" w:color="auto" w:sz="4" w:space="0"/>
              <w:left w:val="nil"/>
              <w:bottom w:val="single" w:color="auto" w:sz="4" w:space="0"/>
              <w:right w:val="single" w:color="000000" w:sz="4" w:space="0"/>
            </w:tcBorders>
            <w:shd w:val="clear" w:color="auto" w:fill="auto"/>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目标1：通过单位自有资金保障劳务派遣人员17人、见习岗及公益性岗位人员10人工资，保障各项工作正常开展；</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目标2：通过购买办公及专用设备，改善职工办公环境、提高患者诊断准确率。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目标3：通过采购医疗药品及卫生材料，保障中心医疗服务工作正常运转。</w:t>
            </w:r>
          </w:p>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目标4：通过支付水电邮电费、培训费、差旅费、维修（护）费、委托业务费、印刷费、办公费、物业管理费、车辆燃料费、车辆保险费等费用，保障了本中心各项工作的正常运转。</w:t>
            </w:r>
          </w:p>
        </w:tc>
      </w:tr>
      <w:tr>
        <w:tblPrEx>
          <w:tblCellMar>
            <w:top w:w="0" w:type="dxa"/>
            <w:left w:w="108" w:type="dxa"/>
            <w:bottom w:w="0" w:type="dxa"/>
            <w:right w:w="108" w:type="dxa"/>
          </w:tblCellMar>
        </w:tblPrEx>
        <w:trPr>
          <w:trHeight w:val="527" w:hRule="atLeast"/>
          <w:jc w:val="center"/>
        </w:trPr>
        <w:tc>
          <w:tcPr>
            <w:tcW w:w="955"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05" w:hRule="atLeast"/>
          <w:jc w:val="center"/>
        </w:trPr>
        <w:tc>
          <w:tcPr>
            <w:tcW w:w="95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7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劳务派遣人员数量</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&gt;=17人</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14人</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见习及公益性岗位人数</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&gt;=10人</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10人</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设备购置数量</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&gt;=42台</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医疗药品及卫生材料采购批次</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&gt;=10次</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全年门诊就诊人数</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=13500人</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13014人</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设备采购验收合格率</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&gt;=100％</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资金支付率</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&gt;=80％</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工资发放及时率</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5" w:hRule="atLeast"/>
          <w:jc w:val="center"/>
        </w:trPr>
        <w:tc>
          <w:tcPr>
            <w:tcW w:w="95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7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综合业务费</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&lt;=681526元</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专用材料费</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&lt;=306000元</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派遣人员劳务费支出</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&lt;=692393元</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见习岗级公益性岗位人员生活补助支出</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&lt;=123000元</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设备购置费</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&lt;=255581元</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5" w:hRule="atLeast"/>
          <w:jc w:val="center"/>
        </w:trPr>
        <w:tc>
          <w:tcPr>
            <w:tcW w:w="95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7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提高患者诊断准确率</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进一步提高</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5"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07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rPr>
            </w:pPr>
          </w:p>
        </w:tc>
        <w:tc>
          <w:tcPr>
            <w:tcW w:w="196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提升后勤保障工作能力</w:t>
            </w:r>
          </w:p>
        </w:tc>
        <w:tc>
          <w:tcPr>
            <w:tcW w:w="107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明显提高</w:t>
            </w:r>
          </w:p>
        </w:tc>
        <w:tc>
          <w:tcPr>
            <w:tcW w:w="137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5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3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ascii="楷体_GB2312" w:hAnsi="楷体_GB2312" w:eastAsia="楷体_GB2312" w:cs="楷体_GB2312"/>
          <w:b/>
          <w:color w:val="auto"/>
          <w:kern w:val="0"/>
          <w:sz w:val="32"/>
          <w:szCs w:val="32"/>
        </w:rPr>
      </w:pPr>
      <w:r>
        <w:rPr>
          <w:rFonts w:ascii="楷体_GB2312" w:hAnsi="楷体_GB2312" w:eastAsia="楷体_GB2312" w:cs="宋体"/>
          <w:b/>
          <w:color w:val="auto"/>
          <w:kern w:val="0"/>
          <w:sz w:val="32"/>
          <w:szCs w:val="32"/>
        </w:rPr>
        <w:br w:type="page"/>
      </w: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我单位无其他需说明事项。</w:t>
      </w:r>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托克逊县妇幼保健和计划生育服务中心</w:t>
      </w:r>
    </w:p>
    <w:p>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3BD1"/>
    <w:rsid w:val="0014074D"/>
    <w:rsid w:val="00174A72"/>
    <w:rsid w:val="00257E86"/>
    <w:rsid w:val="002A2EAB"/>
    <w:rsid w:val="00443BB9"/>
    <w:rsid w:val="0046194A"/>
    <w:rsid w:val="006545CA"/>
    <w:rsid w:val="006B1229"/>
    <w:rsid w:val="006F4821"/>
    <w:rsid w:val="007533D6"/>
    <w:rsid w:val="008E1640"/>
    <w:rsid w:val="00A836C6"/>
    <w:rsid w:val="00A85BD2"/>
    <w:rsid w:val="00FF358F"/>
    <w:rsid w:val="17C24206"/>
    <w:rsid w:val="2B923747"/>
    <w:rsid w:val="3DDC7F8B"/>
    <w:rsid w:val="47FE6083"/>
    <w:rsid w:val="488C6DD4"/>
    <w:rsid w:val="6D8C26DE"/>
    <w:rsid w:val="77A33A79"/>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2067</Words>
  <Characters>2251</Characters>
  <Lines>117</Lines>
  <Paragraphs>33</Paragraphs>
  <TotalTime>20</TotalTime>
  <ScaleCrop>false</ScaleCrop>
  <LinksUpToDate>false</LinksUpToDate>
  <CharactersWithSpaces>2317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2025-08-12T05:05:00Z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EA3AB103DA2F4559B5B0203CE5D4A8F4_13</vt:lpwstr>
  </property>
  <property fmtid="{D5CDD505-2E9C-101B-9397-08002B2CF9AE}" pid="4" name="KSOTemplateDocerSaveRecord">
    <vt:lpwstr>eyJoZGlkIjoiMTcwMGY5N2M4YzI3ODdkZTMzOGFhZTcwMTk4MTdlMjAiLCJ1c2VySWQiOiI0OTQ1NzM3OTEifQ==</vt:lpwstr>
  </property>
</Properties>
</file>